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66"/>
        <w:gridCol w:w="2244"/>
        <w:gridCol w:w="2311"/>
        <w:gridCol w:w="3206"/>
      </w:tblGrid>
      <w:tr w:rsidR="0026487C" w:rsidRPr="00274BB1" w:rsidTr="00C06808">
        <w:tc>
          <w:tcPr>
            <w:tcW w:w="10137" w:type="dxa"/>
            <w:gridSpan w:val="5"/>
            <w:shd w:val="clear" w:color="auto" w:fill="00B0F0"/>
          </w:tcPr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A: Síolta Standard and Component</w:t>
            </w:r>
          </w:p>
        </w:tc>
      </w:tr>
      <w:tr w:rsidR="0026487C" w:rsidRPr="00274BB1" w:rsidTr="00C06808">
        <w:tc>
          <w:tcPr>
            <w:tcW w:w="10137" w:type="dxa"/>
            <w:gridSpan w:val="5"/>
          </w:tcPr>
          <w:p w:rsidR="0026487C" w:rsidRPr="00274BB1" w:rsidRDefault="0026487C" w:rsidP="00C06808">
            <w:pPr>
              <w:spacing w:after="0" w:line="240" w:lineRule="auto"/>
            </w:pPr>
            <w:r w:rsidRPr="00274BB1">
              <w:t>Insert Standard Number and Title: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Standard 6: Play</w:t>
            </w:r>
          </w:p>
          <w:p w:rsidR="0026487C" w:rsidRPr="00274BB1" w:rsidRDefault="0026487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Promoting play requires that each child has ample time to engage freely available and accessible, developmentally appropriate and well-resourced opportunities for exploration, creativity and ‘meaning making’ in the company of other children, with participating adults and alone where appropriate. 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</w:tc>
      </w:tr>
      <w:tr w:rsidR="0026487C" w:rsidRPr="00274BB1" w:rsidTr="00C06808">
        <w:tc>
          <w:tcPr>
            <w:tcW w:w="10137" w:type="dxa"/>
            <w:gridSpan w:val="5"/>
          </w:tcPr>
          <w:p w:rsidR="0026487C" w:rsidRPr="00274BB1" w:rsidRDefault="0026487C" w:rsidP="00C06808">
            <w:pPr>
              <w:spacing w:after="0" w:line="240" w:lineRule="auto"/>
            </w:pPr>
            <w:r w:rsidRPr="00274BB1">
              <w:t>Insert Component Number and Title: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Component 6.5</w:t>
            </w:r>
          </w:p>
          <w:p w:rsidR="0026487C" w:rsidRPr="00274BB1" w:rsidRDefault="0026487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Play opportunities provided for the child encourage him/her to explore, to be creative and to use his /her previous learning to make new meanings.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</w:tc>
      </w:tr>
      <w:tr w:rsidR="0026487C" w:rsidRPr="00274BB1" w:rsidTr="00C06808">
        <w:tc>
          <w:tcPr>
            <w:tcW w:w="10137" w:type="dxa"/>
            <w:gridSpan w:val="5"/>
            <w:shd w:val="clear" w:color="auto" w:fill="00B0F0"/>
          </w:tcPr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B: Level of Practice</w:t>
            </w:r>
          </w:p>
        </w:tc>
      </w:tr>
      <w:tr w:rsidR="0026487C" w:rsidRPr="00274BB1" w:rsidTr="00C06808">
        <w:tc>
          <w:tcPr>
            <w:tcW w:w="2310" w:type="dxa"/>
          </w:tcPr>
          <w:p w:rsidR="0026487C" w:rsidRPr="00274BB1" w:rsidRDefault="0026487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8890" t="8255" r="1016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44B2" id="Rectangle 4" o:spid="_x0000_s1026" style="position:absolute;margin-left:6pt;margin-top:11.2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"/>
                  </w:pict>
                </mc:Fallback>
              </mc:AlternateConten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1</w:t>
            </w:r>
          </w:p>
          <w:p w:rsidR="0026487C" w:rsidRPr="00274BB1" w:rsidRDefault="0026487C" w:rsidP="00C06808">
            <w:pPr>
              <w:spacing w:after="0" w:line="240" w:lineRule="auto"/>
            </w:pPr>
            <w:r w:rsidRPr="00274BB1">
              <w:t>No evidence of Quality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26487C" w:rsidRPr="00274BB1" w:rsidRDefault="0026487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3722" id="Rectangle 3" o:spid="_x0000_s1026" style="position:absolute;margin-left:5.25pt;margin-top:11.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"/>
                  </w:pict>
                </mc:Fallback>
              </mc:AlternateConten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2</w:t>
            </w:r>
          </w:p>
          <w:p w:rsidR="0026487C" w:rsidRPr="00274BB1" w:rsidRDefault="0026487C" w:rsidP="00C06808">
            <w:pPr>
              <w:spacing w:after="0" w:line="240" w:lineRule="auto"/>
            </w:pPr>
            <w:r w:rsidRPr="00274BB1">
              <w:t>Some evidence of Quality</w:t>
            </w:r>
          </w:p>
        </w:tc>
        <w:tc>
          <w:tcPr>
            <w:tcW w:w="2311" w:type="dxa"/>
          </w:tcPr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200025" cy="180975"/>
                      <wp:effectExtent l="8890" t="8255" r="1016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6C26" id="Rectangle 2" o:spid="_x0000_s1026" style="position:absolute;margin-left:5.25pt;margin-top:11.2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"/>
                  </w:pict>
                </mc:Fallback>
              </mc:AlternateConten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3</w:t>
            </w:r>
          </w:p>
          <w:p w:rsidR="0026487C" w:rsidRPr="00274BB1" w:rsidRDefault="0026487C" w:rsidP="00C06808">
            <w:pPr>
              <w:spacing w:after="0" w:line="240" w:lineRule="auto"/>
            </w:pPr>
            <w:r w:rsidRPr="00274BB1">
              <w:t>Significant evidence of Quality but some issues still outstanding</w:t>
            </w:r>
          </w:p>
        </w:tc>
        <w:tc>
          <w:tcPr>
            <w:tcW w:w="3206" w:type="dxa"/>
          </w:tcPr>
          <w:p w:rsidR="0026487C" w:rsidRPr="00274BB1" w:rsidRDefault="0026487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144145</wp:posOffset>
                      </wp:positionV>
                      <wp:extent cx="381000" cy="2857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418" w:rsidRDefault="007D1418" w:rsidP="007D141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pt;margin-top:11.35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">
                      <v:textbox>
                        <w:txbxContent>
                          <w:p w:rsidR="007D1418" w:rsidRDefault="007D1418" w:rsidP="007D141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4</w:t>
            </w:r>
          </w:p>
          <w:p w:rsidR="0026487C" w:rsidRPr="00274BB1" w:rsidRDefault="0026487C" w:rsidP="00C06808">
            <w:pPr>
              <w:spacing w:after="0" w:line="240" w:lineRule="auto"/>
            </w:pPr>
            <w:r w:rsidRPr="00274BB1">
              <w:t>Comprehensive  evidence of Quality</w:t>
            </w:r>
          </w:p>
        </w:tc>
      </w:tr>
      <w:tr w:rsidR="0026487C" w:rsidRPr="00274BB1" w:rsidTr="00C06808">
        <w:tc>
          <w:tcPr>
            <w:tcW w:w="2376" w:type="dxa"/>
            <w:gridSpan w:val="2"/>
            <w:shd w:val="clear" w:color="auto" w:fill="00B0F0"/>
          </w:tcPr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bookmarkStart w:id="0" w:name="_GoBack" w:colFirst="0" w:colLast="1"/>
            <w:r w:rsidRPr="00274BB1">
              <w:rPr>
                <w:b/>
                <w:bCs/>
              </w:rPr>
              <w:t>Section C: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With regard to the level indicated, please describe practice within your setting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 xml:space="preserve">Quality Practices </w:t>
            </w:r>
            <w:r w:rsidRPr="00274BB1">
              <w:rPr>
                <w:b/>
                <w:bCs/>
              </w:rPr>
              <w:lastRenderedPageBreak/>
              <w:t>(continued)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61" w:type="dxa"/>
            <w:gridSpan w:val="3"/>
          </w:tcPr>
          <w:p w:rsidR="0026487C" w:rsidRDefault="007D1418" w:rsidP="00C06808">
            <w:pPr>
              <w:spacing w:after="0" w:line="240" w:lineRule="auto"/>
            </w:pPr>
            <w:r>
              <w:lastRenderedPageBreak/>
              <w:t>As Hughes highlighted in 1996, b</w:t>
            </w:r>
            <w:r w:rsidRPr="007D1418">
              <w:t xml:space="preserve">y observing children at play, </w:t>
            </w:r>
            <w:r>
              <w:t xml:space="preserve"> we </w:t>
            </w:r>
            <w:r w:rsidRPr="007D1418">
              <w:t>respond</w:t>
            </w:r>
            <w:r>
              <w:t xml:space="preserve"> </w:t>
            </w:r>
            <w:r w:rsidRPr="007D1418">
              <w:t xml:space="preserve"> to children’s play cues, and reflecting on this experience with colleagues, playworkers can learn a lot about the quality of their play provision without the need for any formal consultation </w:t>
            </w:r>
            <w:r>
              <w:t xml:space="preserve">. We  provide ample play opportunities for the children at Ulla </w:t>
            </w:r>
            <w:proofErr w:type="spellStart"/>
            <w:r>
              <w:t>Beag</w:t>
            </w:r>
            <w:proofErr w:type="spellEnd"/>
            <w:r>
              <w:t xml:space="preserve"> and were awarded the ECI 2016 innovation award for Creative Learning in 2016 as well as being published on the arts in education portal and </w:t>
            </w:r>
            <w:proofErr w:type="spellStart"/>
            <w:r>
              <w:t>manageenergy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. </w:t>
            </w:r>
          </w:p>
          <w:p w:rsidR="007D1418" w:rsidRDefault="007D1418" w:rsidP="00C06808">
            <w:pPr>
              <w:spacing w:after="0" w:line="240" w:lineRule="auto"/>
            </w:pPr>
          </w:p>
          <w:p w:rsidR="007D1418" w:rsidRDefault="007D1418" w:rsidP="00C06808">
            <w:pPr>
              <w:spacing w:after="0" w:line="240" w:lineRule="auto"/>
            </w:pPr>
            <w:r>
              <w:t xml:space="preserve">Insert link to power points for Arts in </w:t>
            </w:r>
            <w:proofErr w:type="spellStart"/>
            <w:r>
              <w:t>eDucation</w:t>
            </w:r>
            <w:proofErr w:type="spellEnd"/>
            <w:r>
              <w:t xml:space="preserve"> ; Green flag programs ; Manage energy which all show children exploring through art ; science and nature in developing their play experiences and learning valuable fine motor skills; cognitive skills and</w:t>
            </w:r>
            <w:r>
              <w:t xml:space="preserve"> imaginative play</w:t>
            </w:r>
          </w:p>
          <w:p w:rsidR="00224DCA" w:rsidRDefault="00224DCA" w:rsidP="00C06808">
            <w:pPr>
              <w:spacing w:after="0" w:line="240" w:lineRule="auto"/>
            </w:pPr>
          </w:p>
          <w:p w:rsidR="00224DCA" w:rsidRPr="00274BB1" w:rsidRDefault="00224DCA" w:rsidP="00C06808">
            <w:pPr>
              <w:spacing w:after="0" w:line="240" w:lineRule="auto"/>
            </w:pPr>
            <w:r>
              <w:t xml:space="preserve">The Ribena </w:t>
            </w:r>
            <w:r w:rsidR="007C605C">
              <w:t xml:space="preserve">Plus Play published in the UK in 2011 states that “Play </w:t>
            </w:r>
            <w:r w:rsidRPr="00224DCA">
              <w:t xml:space="preserve"> is vital for physical, emotional and social development in children</w:t>
            </w:r>
            <w:r w:rsidR="007C605C">
              <w:t>”.</w:t>
            </w:r>
          </w:p>
        </w:tc>
      </w:tr>
      <w:bookmarkEnd w:id="0"/>
      <w:tr w:rsidR="0026487C" w:rsidRPr="00274BB1" w:rsidTr="00C06808">
        <w:tc>
          <w:tcPr>
            <w:tcW w:w="2376" w:type="dxa"/>
            <w:gridSpan w:val="2"/>
            <w:shd w:val="clear" w:color="auto" w:fill="00B0F0"/>
          </w:tcPr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D: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Supporting Documentation</w:t>
            </w: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</w:p>
          <w:p w:rsidR="0026487C" w:rsidRPr="00274BB1" w:rsidRDefault="0026487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Please provide a list of the evidence you plan to attach to support your narrative</w:t>
            </w: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  <w:p w:rsidR="0026487C" w:rsidRPr="00274BB1" w:rsidRDefault="0026487C" w:rsidP="00C06808">
            <w:pPr>
              <w:spacing w:after="0" w:line="240" w:lineRule="auto"/>
            </w:pPr>
          </w:p>
        </w:tc>
        <w:tc>
          <w:tcPr>
            <w:tcW w:w="7761" w:type="dxa"/>
            <w:gridSpan w:val="3"/>
          </w:tcPr>
          <w:p w:rsidR="0026487C" w:rsidRPr="00274BB1" w:rsidRDefault="007D1418" w:rsidP="00C06808">
            <w:pPr>
              <w:spacing w:after="0" w:line="240" w:lineRule="auto"/>
            </w:pPr>
            <w:r>
              <w:t xml:space="preserve">Insert link to power points for Arts in </w:t>
            </w:r>
            <w:proofErr w:type="spellStart"/>
            <w:r>
              <w:t>eDucation</w:t>
            </w:r>
            <w:proofErr w:type="spellEnd"/>
            <w:r>
              <w:t xml:space="preserve"> ; Green flag programs ; Manage energy which all show children exploring through art ; science and nature in developing their play experiences and learning valuable fine motor skills; cognitive skills and </w:t>
            </w:r>
          </w:p>
        </w:tc>
      </w:tr>
    </w:tbl>
    <w:p w:rsidR="00B6718C" w:rsidRDefault="007C605C"/>
    <w:sectPr w:rsidR="00B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C"/>
    <w:rsid w:val="00224DCA"/>
    <w:rsid w:val="0026487C"/>
    <w:rsid w:val="005C364D"/>
    <w:rsid w:val="007C605C"/>
    <w:rsid w:val="007D1418"/>
    <w:rsid w:val="00A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00B8"/>
  <w15:docId w15:val="{AE125259-A8B7-4F3C-9DF6-E10BD12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87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Ireland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Tuite</dc:creator>
  <cp:lastModifiedBy>DENISE SHERIDAN</cp:lastModifiedBy>
  <cp:revision>2</cp:revision>
  <dcterms:created xsi:type="dcterms:W3CDTF">2017-01-23T11:22:00Z</dcterms:created>
  <dcterms:modified xsi:type="dcterms:W3CDTF">2017-01-23T11:22:00Z</dcterms:modified>
</cp:coreProperties>
</file>